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A9F" w14:textId="77777777" w:rsidR="00895025" w:rsidRPr="00895025" w:rsidRDefault="00895025" w:rsidP="00895025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bookmarkStart w:id="0" w:name="_Hlk72317176"/>
      <w:bookmarkStart w:id="1" w:name="_Hlk72156685"/>
      <w:r w:rsidRPr="00895025">
        <w:rPr>
          <w:rFonts w:ascii="Arial" w:hAnsi="Arial" w:cs="Arial"/>
          <w:b/>
          <w:bCs/>
          <w:color w:val="000000" w:themeColor="text1"/>
          <w:lang w:val="en-US"/>
        </w:rPr>
        <w:t>Manuscript title in English</w:t>
      </w:r>
    </w:p>
    <w:p w14:paraId="4DEEA303" w14:textId="3D7BBCC1" w:rsidR="006666D5" w:rsidRPr="00895025" w:rsidRDefault="00895025" w:rsidP="00895025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95025">
        <w:rPr>
          <w:rFonts w:ascii="Arial" w:hAnsi="Arial" w:cs="Arial"/>
          <w:b/>
          <w:bCs/>
          <w:color w:val="000000" w:themeColor="text1"/>
          <w:lang w:val="en-US"/>
        </w:rPr>
        <w:t>Manuscript title in Spanish</w:t>
      </w:r>
    </w:p>
    <w:bookmarkEnd w:id="0"/>
    <w:p w14:paraId="4CBB7FC3" w14:textId="14BC5BA2" w:rsidR="00EA558D" w:rsidRPr="00EA558D" w:rsidRDefault="00EF31D4" w:rsidP="0089502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EA558D">
        <w:rPr>
          <w:rFonts w:ascii="Arial" w:hAnsi="Arial" w:cs="Arial"/>
          <w:sz w:val="18"/>
          <w:szCs w:val="18"/>
          <w:lang w:val="en-US"/>
        </w:rPr>
        <w:t xml:space="preserve">* </w:t>
      </w:r>
      <w:r w:rsidR="00EA558D" w:rsidRPr="00EA558D">
        <w:rPr>
          <w:rFonts w:ascii="Arial" w:hAnsi="Arial" w:cs="Arial"/>
          <w:sz w:val="18"/>
          <w:szCs w:val="18"/>
          <w:lang w:val="en-US"/>
        </w:rPr>
        <w:t xml:space="preserve">The entire document must contain page </w:t>
      </w:r>
      <w:r w:rsidR="00EA558D">
        <w:rPr>
          <w:rFonts w:ascii="Arial" w:hAnsi="Arial" w:cs="Arial"/>
          <w:sz w:val="18"/>
          <w:szCs w:val="18"/>
          <w:lang w:val="en-US"/>
        </w:rPr>
        <w:t>(</w:t>
      </w:r>
      <w:r w:rsidR="00083E9A" w:rsidRPr="00083E9A">
        <w:rPr>
          <w:rFonts w:ascii="Arial" w:hAnsi="Arial" w:cs="Arial"/>
          <w:sz w:val="18"/>
          <w:szCs w:val="18"/>
          <w:lang w:val="en-US"/>
        </w:rPr>
        <w:t>in the down right corner</w:t>
      </w:r>
      <w:r w:rsidR="00EA558D">
        <w:rPr>
          <w:rFonts w:ascii="Arial" w:hAnsi="Arial" w:cs="Arial"/>
          <w:sz w:val="18"/>
          <w:szCs w:val="18"/>
          <w:lang w:val="en-US"/>
        </w:rPr>
        <w:t xml:space="preserve">) </w:t>
      </w:r>
      <w:r w:rsidR="00EA558D" w:rsidRPr="00EA558D">
        <w:rPr>
          <w:rFonts w:ascii="Arial" w:hAnsi="Arial" w:cs="Arial"/>
          <w:sz w:val="18"/>
          <w:szCs w:val="18"/>
          <w:lang w:val="en-US"/>
        </w:rPr>
        <w:t>and line numbers in order to facilitate the review process.</w:t>
      </w:r>
    </w:p>
    <w:p w14:paraId="0C787DF4" w14:textId="146CB26F" w:rsidR="00895025" w:rsidRPr="00895025" w:rsidRDefault="00895025" w:rsidP="0089502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Abstract </w:t>
      </w:r>
    </w:p>
    <w:p w14:paraId="42C82C59" w14:textId="61242583" w:rsidR="00895025" w:rsidRPr="00895025" w:rsidRDefault="00895025" w:rsidP="00895025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>It should briefly describe the objective’s research, its main findings and conclusions. The abstract should be easily understandable to all readers, even non-specialists, and should not exceed 250 words. It should not include bibliographic citations or acronyms.</w:t>
      </w:r>
    </w:p>
    <w:p w14:paraId="308DDE00" w14:textId="77777777" w:rsidR="00895025" w:rsidRPr="00895025" w:rsidRDefault="00895025" w:rsidP="0089502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>Keywords</w:t>
      </w:r>
      <w:r w:rsidRPr="00895025">
        <w:rPr>
          <w:rFonts w:ascii="Arial" w:hAnsi="Arial" w:cs="Arial"/>
          <w:sz w:val="20"/>
          <w:szCs w:val="20"/>
          <w:lang w:val="en-US"/>
        </w:rPr>
        <w:t>:  word1, word2, word3, word4, word5.</w:t>
      </w:r>
    </w:p>
    <w:p w14:paraId="0B72D9F4" w14:textId="77777777" w:rsidR="00895025" w:rsidRPr="00895025" w:rsidRDefault="00895025" w:rsidP="0089502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>Resumen</w:t>
      </w:r>
    </w:p>
    <w:p w14:paraId="5FBF9B4A" w14:textId="69DD3A14" w:rsidR="00227FED" w:rsidRPr="00895025" w:rsidRDefault="00895025" w:rsidP="00227F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95025">
        <w:rPr>
          <w:rFonts w:ascii="Arial" w:hAnsi="Arial" w:cs="Arial"/>
          <w:sz w:val="20"/>
          <w:szCs w:val="20"/>
          <w:lang w:val="en-US"/>
        </w:rPr>
        <w:t>It must accurately reflect the content of the abstract in technical-scientific Spanish.</w:t>
      </w:r>
    </w:p>
    <w:bookmarkEnd w:id="1"/>
    <w:p w14:paraId="621195AE" w14:textId="77777777" w:rsidR="00895025" w:rsidRPr="00FC4FF4" w:rsidRDefault="00895025" w:rsidP="00895025">
      <w:pPr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b/>
          <w:bCs/>
          <w:sz w:val="20"/>
          <w:szCs w:val="20"/>
          <w:lang w:val="es-EC"/>
        </w:rPr>
        <w:t>Palabras clave: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 palabra1, palabra2, palabra3, palabra4, palabra5.</w:t>
      </w:r>
    </w:p>
    <w:p w14:paraId="49F85B41" w14:textId="0982D1CA" w:rsidR="00227FED" w:rsidRPr="00895025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895025">
        <w:rPr>
          <w:rFonts w:ascii="Arial" w:hAnsi="Arial" w:cs="Arial"/>
          <w:b/>
          <w:bCs/>
          <w:sz w:val="20"/>
          <w:szCs w:val="20"/>
          <w:lang w:val="en-US"/>
        </w:rPr>
        <w:t>introduction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D737559" w14:textId="1C51AE21" w:rsidR="00886A40" w:rsidRPr="00895025" w:rsidRDefault="00895025" w:rsidP="00886A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95025">
        <w:rPr>
          <w:rFonts w:ascii="Arial" w:hAnsi="Arial" w:cs="Arial"/>
          <w:sz w:val="20"/>
          <w:szCs w:val="20"/>
          <w:lang w:val="en-US"/>
        </w:rPr>
        <w:t>It should reflect the research problem and the context of the research (theoretical framework), justify the research by emphasizing its reasons; and, state the objectives and the hypotheses if it applied.</w:t>
      </w:r>
    </w:p>
    <w:p w14:paraId="57D1BA62" w14:textId="25B55782" w:rsidR="00227FED" w:rsidRPr="00895025" w:rsidRDefault="00895025" w:rsidP="00886A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95025">
        <w:rPr>
          <w:rFonts w:ascii="Arial" w:hAnsi="Arial" w:cs="Arial"/>
          <w:sz w:val="20"/>
          <w:szCs w:val="20"/>
          <w:lang w:val="en-US"/>
        </w:rPr>
        <w:t>This section should end with a brief statement of what was achieved through the research</w:t>
      </w:r>
      <w:r w:rsidR="00886A40" w:rsidRPr="00895025">
        <w:rPr>
          <w:rFonts w:ascii="Arial" w:hAnsi="Arial" w:cs="Arial"/>
          <w:sz w:val="20"/>
          <w:szCs w:val="20"/>
          <w:lang w:val="en-US"/>
        </w:rPr>
        <w:t>.</w:t>
      </w:r>
    </w:p>
    <w:p w14:paraId="645E32A8" w14:textId="0220AA85" w:rsidR="00227FED" w:rsidRPr="00895025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895025" w:rsidRPr="00895025">
        <w:rPr>
          <w:rFonts w:ascii="Arial" w:hAnsi="Arial" w:cs="Arial"/>
          <w:b/>
          <w:bCs/>
          <w:sz w:val="20"/>
          <w:szCs w:val="20"/>
          <w:lang w:val="en-US"/>
        </w:rPr>
        <w:t>Materials and Methods</w:t>
      </w:r>
    </w:p>
    <w:p w14:paraId="7386D351" w14:textId="03F8ED19" w:rsidR="00E667E9" w:rsidRPr="00895025" w:rsidRDefault="00895025" w:rsidP="00886A40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>This section should begin with a description of the study area</w:t>
      </w:r>
      <w:r w:rsidR="00886A40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E667E9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>The materials and methods used during the experimental or field/laboratory phase of the research are briefly explained</w:t>
      </w:r>
      <w:r w:rsidR="00886A40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0CCA4E8C" w14:textId="36457CFD" w:rsidR="00227FED" w:rsidRPr="00895025" w:rsidRDefault="00F47015" w:rsidP="00886A40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47015">
        <w:rPr>
          <w:rFonts w:ascii="Arial" w:hAnsi="Arial" w:cs="Arial"/>
          <w:color w:val="000000" w:themeColor="text1"/>
          <w:sz w:val="20"/>
          <w:szCs w:val="20"/>
          <w:lang w:val="en-US"/>
        </w:rPr>
        <w:t>The materials used and their use are included in the text. It should not be created a list of materials!</w:t>
      </w:r>
      <w:r w:rsidR="00227FED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F3D13E2" w14:textId="2AF30C0B" w:rsidR="00227FED" w:rsidRPr="00895025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F47015">
        <w:rPr>
          <w:rFonts w:ascii="Arial" w:hAnsi="Arial" w:cs="Arial"/>
          <w:b/>
          <w:bCs/>
          <w:sz w:val="20"/>
          <w:szCs w:val="20"/>
          <w:lang w:val="en-US"/>
        </w:rPr>
        <w:t>Results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47015">
        <w:rPr>
          <w:rFonts w:ascii="Arial" w:hAnsi="Arial" w:cs="Arial"/>
          <w:b/>
          <w:bCs/>
          <w:sz w:val="20"/>
          <w:szCs w:val="20"/>
          <w:lang w:val="en-US"/>
        </w:rPr>
        <w:t>and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C4FF4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>iscus</w:t>
      </w:r>
      <w:r w:rsidR="00F4701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F47015"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>n</w:t>
      </w:r>
    </w:p>
    <w:p w14:paraId="05307669" w14:textId="253FD3A2" w:rsidR="00227FED" w:rsidRPr="00895025" w:rsidRDefault="00227FED" w:rsidP="00227FED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3.1. </w:t>
      </w:r>
      <w:r w:rsidR="00F4701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Options</w:t>
      </w:r>
    </w:p>
    <w:p w14:paraId="2F3B3B30" w14:textId="3CC8EE23" w:rsidR="00227FED" w:rsidRPr="00895025" w:rsidRDefault="00F47015" w:rsidP="00227F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47015">
        <w:rPr>
          <w:rFonts w:ascii="Arial" w:hAnsi="Arial" w:cs="Arial"/>
          <w:sz w:val="20"/>
          <w:szCs w:val="20"/>
          <w:lang w:val="en-US"/>
        </w:rPr>
        <w:t>You may choose to write these sections separately or combine them into a single section (Results and Discussion)</w:t>
      </w:r>
      <w:r w:rsidR="00227FED" w:rsidRPr="0089502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3114A38" w14:textId="47365864" w:rsidR="00227FED" w:rsidRPr="00895025" w:rsidRDefault="00227FED" w:rsidP="00227FED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3.2. </w:t>
      </w:r>
      <w:r w:rsidR="00886A40"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Results</w:t>
      </w:r>
    </w:p>
    <w:p w14:paraId="1339673F" w14:textId="7F301FFA" w:rsidR="00886A40" w:rsidRPr="00895025" w:rsidRDefault="00F47015" w:rsidP="00886A40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" w:name="_Hlk72238696"/>
      <w:r w:rsidRPr="00F47015">
        <w:rPr>
          <w:rFonts w:ascii="Arial" w:hAnsi="Arial" w:cs="Arial"/>
          <w:color w:val="000000" w:themeColor="text1"/>
          <w:sz w:val="20"/>
          <w:szCs w:val="20"/>
          <w:lang w:val="en-US"/>
        </w:rPr>
        <w:t>This section should use Tables and Figures to explain the results. Tables and Figures should be numbered using Arabic numerals and cited in the text</w:t>
      </w:r>
      <w:r w:rsidR="00886A40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3070A65B" w14:textId="3444A367" w:rsidR="00C3348C" w:rsidRDefault="00C3348C" w:rsidP="00C3348C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3348C">
        <w:rPr>
          <w:rFonts w:ascii="Arial" w:hAnsi="Arial" w:cs="Arial"/>
          <w:color w:val="000000" w:themeColor="text1"/>
          <w:sz w:val="20"/>
          <w:szCs w:val="20"/>
          <w:lang w:val="en-US"/>
        </w:rPr>
        <w:t>If the manuscript is written in English period (.)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3348C">
        <w:rPr>
          <w:rFonts w:ascii="Arial" w:hAnsi="Arial" w:cs="Arial"/>
          <w:color w:val="000000" w:themeColor="text1"/>
          <w:sz w:val="20"/>
          <w:szCs w:val="20"/>
          <w:lang w:val="en-US"/>
        </w:rPr>
        <w:t>will be used for decimals and commas (,)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3348C">
        <w:rPr>
          <w:rFonts w:ascii="Arial" w:hAnsi="Arial" w:cs="Arial"/>
          <w:color w:val="000000" w:themeColor="text1"/>
          <w:sz w:val="20"/>
          <w:szCs w:val="20"/>
          <w:lang w:val="en-US"/>
        </w:rPr>
        <w:t>for thousands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C3348C">
        <w:rPr>
          <w:rFonts w:ascii="Arial" w:hAnsi="Arial" w:cs="Arial"/>
          <w:color w:val="000000" w:themeColor="text1"/>
          <w:sz w:val="20"/>
          <w:szCs w:val="20"/>
          <w:lang w:val="en-US"/>
        </w:rPr>
        <w:t>On the other hand, if the manuscript is written in Spanish, use commas for decimals and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3348C">
        <w:rPr>
          <w:rFonts w:ascii="Arial" w:hAnsi="Arial" w:cs="Arial"/>
          <w:color w:val="000000" w:themeColor="text1"/>
          <w:sz w:val="20"/>
          <w:szCs w:val="20"/>
          <w:lang w:val="en-US"/>
        </w:rPr>
        <w:t>period (.) for thousands.</w:t>
      </w:r>
    </w:p>
    <w:p w14:paraId="2789C8DB" w14:textId="02AC1FFA" w:rsidR="00886A40" w:rsidRPr="00895025" w:rsidRDefault="00886A40" w:rsidP="00886A40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3.2. Discus</w:t>
      </w:r>
      <w:r w:rsidR="00F4701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s</w:t>
      </w: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i</w:t>
      </w:r>
      <w:r w:rsidR="00F4701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o</w:t>
      </w: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n</w:t>
      </w:r>
    </w:p>
    <w:p w14:paraId="1269BB29" w14:textId="6975171D" w:rsidR="002A4ADF" w:rsidRDefault="00C95FA5" w:rsidP="002A4ADF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t>In the Discussion section the authors should emphasize the importance of the results, setting them in the context of previous research</w:t>
      </w:r>
      <w:r w:rsidR="00886A40" w:rsidRPr="00895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t>This section should conclude with a clear and convincing explanation of the results from the perspective of their practical use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35F818D5" w14:textId="51D73319" w:rsidR="00E667E9" w:rsidRPr="00895025" w:rsidRDefault="00E667E9" w:rsidP="00E667E9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3.3. Tabl</w:t>
      </w:r>
      <w:r w:rsidR="00C95FA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e</w:t>
      </w: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s y Figur</w:t>
      </w:r>
      <w:r w:rsidR="00C95FA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e</w:t>
      </w: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s</w:t>
      </w:r>
    </w:p>
    <w:p w14:paraId="5352D69F" w14:textId="71A4A8D6" w:rsidR="00E667E9" w:rsidRPr="00895025" w:rsidRDefault="00E667E9" w:rsidP="00E667E9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89502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3.3.1. Tabl</w:t>
      </w:r>
      <w:r w:rsidR="00C95FA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</w:t>
      </w:r>
      <w:r w:rsidRPr="0089502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</w:t>
      </w:r>
    </w:p>
    <w:p w14:paraId="680EC1F8" w14:textId="77777777" w:rsidR="00C95FA5" w:rsidRPr="00C95FA5" w:rsidRDefault="00C95FA5" w:rsidP="00C95F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Tables should always be cited in text in consecutive numerical order with Arabic numerals (Table 1, Table 2, etc.).</w:t>
      </w:r>
    </w:p>
    <w:p w14:paraId="74D355D4" w14:textId="065C6054" w:rsidR="00C95FA5" w:rsidRDefault="00C95FA5" w:rsidP="00C95F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t>Each heading should be brief and explain the content of the Table. Each heading must be in Spanish and English.</w:t>
      </w:r>
    </w:p>
    <w:p w14:paraId="0F662B83" w14:textId="3AA85CFA" w:rsidR="00E667E9" w:rsidRPr="00C95FA5" w:rsidRDefault="00C95FA5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t>The following is an example of a table.</w:t>
      </w:r>
    </w:p>
    <w:p w14:paraId="4156E495" w14:textId="77777777" w:rsidR="00C95FA5" w:rsidRPr="00C95FA5" w:rsidRDefault="00C95FA5" w:rsidP="00E842B6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5FA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Table 1.</w:t>
      </w:r>
      <w:r w:rsidRPr="00C95FA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Chemical analysis of soil from San Valentín banana farm.</w:t>
      </w:r>
    </w:p>
    <w:p w14:paraId="51541BA2" w14:textId="5FEA79FE" w:rsidR="00E667E9" w:rsidRPr="00FC4FF4" w:rsidRDefault="00E667E9" w:rsidP="00E842B6">
      <w:pPr>
        <w:jc w:val="center"/>
        <w:rPr>
          <w:rFonts w:ascii="Arial" w:hAnsi="Arial" w:cs="Arial"/>
          <w:i/>
          <w:iCs/>
          <w:sz w:val="20"/>
          <w:szCs w:val="20"/>
          <w:lang w:val="es-EC"/>
        </w:rPr>
      </w:pPr>
      <w:r w:rsidRPr="00FC4FF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s-EC"/>
        </w:rPr>
        <w:t>Tabla 1.</w:t>
      </w:r>
      <w:r w:rsidRPr="00FC4FF4">
        <w:rPr>
          <w:rFonts w:ascii="Arial" w:hAnsi="Arial" w:cs="Arial"/>
          <w:i/>
          <w:iCs/>
          <w:color w:val="000000" w:themeColor="text1"/>
          <w:sz w:val="20"/>
          <w:szCs w:val="20"/>
          <w:lang w:val="es-EC"/>
        </w:rPr>
        <w:t xml:space="preserve"> Análisis </w:t>
      </w:r>
      <w:r w:rsidRPr="00FC4FF4">
        <w:rPr>
          <w:rFonts w:ascii="Arial" w:hAnsi="Arial" w:cs="Arial"/>
          <w:i/>
          <w:iCs/>
          <w:sz w:val="20"/>
          <w:szCs w:val="20"/>
          <w:lang w:val="es-EC"/>
        </w:rPr>
        <w:t>químico del suelo de la hacienda bananera San Valentín.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17"/>
        <w:gridCol w:w="717"/>
        <w:gridCol w:w="717"/>
      </w:tblGrid>
      <w:tr w:rsidR="00E667E9" w:rsidRPr="00895025" w14:paraId="316DA3BF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A9F2FE" w14:textId="6F00A9D8" w:rsidR="00E667E9" w:rsidRPr="00895025" w:rsidRDefault="00341B84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Aspect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DBC6A0" w14:textId="0DF873CB" w:rsidR="00E667E9" w:rsidRPr="00895025" w:rsidRDefault="00341B84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5FC57C" w14:textId="524DFE82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280C54" w14:textId="7C4FE948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E667E9" w:rsidRPr="00895025" w14:paraId="7A7311B3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62F96D3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B9FE95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68837A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88C825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6,57</w:t>
            </w:r>
          </w:p>
        </w:tc>
      </w:tr>
      <w:tr w:rsidR="00E667E9" w:rsidRPr="00895025" w14:paraId="396DDC58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bottom"/>
          </w:tcPr>
          <w:p w14:paraId="2B7AED33" w14:textId="0A52EF74" w:rsidR="00E667E9" w:rsidRPr="00895025" w:rsidRDefault="00644674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OM</w:t>
            </w:r>
            <w:r w:rsidR="00E667E9"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0" w:type="auto"/>
            <w:vAlign w:val="bottom"/>
          </w:tcPr>
          <w:p w14:paraId="25EA8A08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3,14</w:t>
            </w:r>
          </w:p>
        </w:tc>
        <w:tc>
          <w:tcPr>
            <w:tcW w:w="0" w:type="auto"/>
            <w:vAlign w:val="bottom"/>
          </w:tcPr>
          <w:p w14:paraId="31BE19D7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2,80</w:t>
            </w:r>
          </w:p>
        </w:tc>
        <w:tc>
          <w:tcPr>
            <w:tcW w:w="0" w:type="auto"/>
            <w:vAlign w:val="bottom"/>
          </w:tcPr>
          <w:p w14:paraId="64F22B23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2,91</w:t>
            </w:r>
          </w:p>
        </w:tc>
      </w:tr>
      <w:tr w:rsidR="00E667E9" w:rsidRPr="00895025" w14:paraId="47617EAD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46AAF4C2" w14:textId="0708444B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∑ Bases - C</w:t>
            </w:r>
            <w:r w:rsidR="0064467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C*</w:t>
            </w:r>
          </w:p>
        </w:tc>
        <w:tc>
          <w:tcPr>
            <w:tcW w:w="0" w:type="auto"/>
            <w:vAlign w:val="bottom"/>
          </w:tcPr>
          <w:p w14:paraId="277C99AF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17,31</w:t>
            </w:r>
          </w:p>
        </w:tc>
        <w:tc>
          <w:tcPr>
            <w:tcW w:w="0" w:type="auto"/>
            <w:vAlign w:val="bottom"/>
          </w:tcPr>
          <w:p w14:paraId="722094EE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14,74</w:t>
            </w:r>
          </w:p>
        </w:tc>
        <w:tc>
          <w:tcPr>
            <w:tcW w:w="0" w:type="auto"/>
            <w:vAlign w:val="bottom"/>
          </w:tcPr>
          <w:p w14:paraId="66FE5DCD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15,65</w:t>
            </w:r>
          </w:p>
        </w:tc>
      </w:tr>
      <w:tr w:rsidR="00E667E9" w:rsidRPr="00895025" w14:paraId="51EA1234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0245A0B2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Ca/Mg</w:t>
            </w:r>
          </w:p>
        </w:tc>
        <w:tc>
          <w:tcPr>
            <w:tcW w:w="0" w:type="auto"/>
            <w:vAlign w:val="bottom"/>
          </w:tcPr>
          <w:p w14:paraId="44328B14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7,13</w:t>
            </w:r>
          </w:p>
        </w:tc>
        <w:tc>
          <w:tcPr>
            <w:tcW w:w="0" w:type="auto"/>
            <w:vAlign w:val="bottom"/>
          </w:tcPr>
          <w:p w14:paraId="620E63DE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3,27</w:t>
            </w:r>
          </w:p>
        </w:tc>
        <w:tc>
          <w:tcPr>
            <w:tcW w:w="0" w:type="auto"/>
            <w:vAlign w:val="bottom"/>
          </w:tcPr>
          <w:p w14:paraId="5D1A382E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4,95</w:t>
            </w:r>
          </w:p>
        </w:tc>
      </w:tr>
      <w:tr w:rsidR="00E667E9" w:rsidRPr="00895025" w14:paraId="554D38F7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1BC93866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Mg/K</w:t>
            </w:r>
          </w:p>
        </w:tc>
        <w:tc>
          <w:tcPr>
            <w:tcW w:w="0" w:type="auto"/>
            <w:vAlign w:val="bottom"/>
          </w:tcPr>
          <w:p w14:paraId="11855CED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10,19</w:t>
            </w:r>
          </w:p>
        </w:tc>
        <w:tc>
          <w:tcPr>
            <w:tcW w:w="0" w:type="auto"/>
            <w:vAlign w:val="bottom"/>
          </w:tcPr>
          <w:p w14:paraId="444AA898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0" w:type="auto"/>
            <w:vAlign w:val="bottom"/>
          </w:tcPr>
          <w:p w14:paraId="7F32A768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12,03</w:t>
            </w:r>
          </w:p>
        </w:tc>
      </w:tr>
      <w:tr w:rsidR="00E667E9" w:rsidRPr="00895025" w14:paraId="7624374F" w14:textId="77777777" w:rsidTr="007D5B41">
        <w:trPr>
          <w:trHeight w:val="20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E8F430F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Ca/K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90C5C6F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72,63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A42DAD3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52,36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1D1BBF3" w14:textId="77777777" w:rsidR="00E667E9" w:rsidRPr="00895025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68,23</w:t>
            </w:r>
          </w:p>
        </w:tc>
      </w:tr>
      <w:tr w:rsidR="00E667E9" w:rsidRPr="00895025" w14:paraId="2AC6FF75" w14:textId="77777777" w:rsidTr="007D5B41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6AD053" w14:textId="14D6DAA5" w:rsidR="00E667E9" w:rsidRPr="00895025" w:rsidRDefault="00E667E9" w:rsidP="007D5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502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*</w:t>
            </w:r>
            <w:r w:rsidR="00644674">
              <w:t xml:space="preserve"> </w:t>
            </w:r>
            <w:r w:rsidR="00644674" w:rsidRPr="0064467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CEC = Cation exchange capacity</w:t>
            </w:r>
            <w:r w:rsidRPr="0089502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</w:tbl>
    <w:p w14:paraId="20BAADF7" w14:textId="6E0C9A8C" w:rsidR="00E667E9" w:rsidRPr="00895025" w:rsidRDefault="00E667E9" w:rsidP="00E667E9">
      <w:pPr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3.3.2. Figur</w:t>
      </w:r>
      <w:r w:rsidR="00644674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</w:t>
      </w:r>
      <w:r w:rsidRPr="0089502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</w:t>
      </w:r>
    </w:p>
    <w:p w14:paraId="12CF1E3D" w14:textId="77777777" w:rsidR="00644674" w:rsidRPr="00644674" w:rsidRDefault="00644674" w:rsidP="006446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44674">
        <w:rPr>
          <w:rFonts w:ascii="Arial" w:hAnsi="Arial" w:cs="Arial"/>
          <w:color w:val="000000" w:themeColor="text1"/>
          <w:sz w:val="20"/>
          <w:szCs w:val="20"/>
          <w:lang w:val="en-US"/>
        </w:rPr>
        <w:t>All illustrations including maps, diagrams, and photographs fall into the category of Figures and are cited consecutively in the text with Arabic numerals (Figure 1, Figure 2, etc.).</w:t>
      </w:r>
    </w:p>
    <w:p w14:paraId="2EC7C1FC" w14:textId="77777777" w:rsidR="00644674" w:rsidRPr="00644674" w:rsidRDefault="00644674" w:rsidP="006446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44674">
        <w:rPr>
          <w:rFonts w:ascii="Arial" w:hAnsi="Arial" w:cs="Arial"/>
          <w:color w:val="000000" w:themeColor="text1"/>
          <w:sz w:val="20"/>
          <w:szCs w:val="20"/>
          <w:lang w:val="en-US"/>
        </w:rPr>
        <w:t>All figures must be in black and white or greyscale. Authors are recommended to upload the Figures in JPG or TIFF format, 300 dpi, as separate files.</w:t>
      </w:r>
    </w:p>
    <w:p w14:paraId="24FC8A51" w14:textId="538E1D05" w:rsidR="00E667E9" w:rsidRPr="00644674" w:rsidRDefault="00644674" w:rsidP="007511F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44674">
        <w:rPr>
          <w:rFonts w:ascii="Arial" w:hAnsi="Arial" w:cs="Arial"/>
          <w:color w:val="000000" w:themeColor="text1"/>
          <w:sz w:val="20"/>
          <w:szCs w:val="20"/>
          <w:lang w:val="en-US"/>
        </w:rPr>
        <w:t>Each heading must be in Spanish and English.</w:t>
      </w:r>
    </w:p>
    <w:bookmarkEnd w:id="2"/>
    <w:p w14:paraId="76E47159" w14:textId="3FDAA745" w:rsidR="00227FED" w:rsidRPr="00895025" w:rsidRDefault="007B5499" w:rsidP="007B5499">
      <w:pPr>
        <w:jc w:val="center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24FD0F7" wp14:editId="530CAFE8">
            <wp:extent cx="5400000" cy="3037271"/>
            <wp:effectExtent l="0" t="0" r="0" b="0"/>
            <wp:docPr id="6" name="Imagen 6" descr="Una captura de pantalla de una red verd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ptura de pantalla de una red verde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1230" w14:textId="77777777" w:rsidR="00644674" w:rsidRPr="00FC4FF4" w:rsidRDefault="00644674" w:rsidP="00644674">
      <w:pPr>
        <w:jc w:val="both"/>
        <w:rPr>
          <w:rFonts w:ascii="Arial" w:hAnsi="Arial" w:cs="Arial"/>
          <w:sz w:val="20"/>
          <w:szCs w:val="20"/>
          <w:lang w:val="es-EC"/>
        </w:rPr>
      </w:pPr>
      <w:bookmarkStart w:id="3" w:name="_Hlk72253806"/>
      <w:r w:rsidRPr="00FC4FF4">
        <w:rPr>
          <w:rFonts w:ascii="Arial" w:hAnsi="Arial" w:cs="Arial"/>
          <w:b/>
          <w:bCs/>
          <w:sz w:val="20"/>
          <w:szCs w:val="20"/>
          <w:lang w:val="es-EC"/>
        </w:rPr>
        <w:t>Figure 1.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  <w:r w:rsidRPr="00FC4FF4">
        <w:rPr>
          <w:rFonts w:ascii="Arial" w:hAnsi="Arial" w:cs="Arial"/>
          <w:i/>
          <w:iCs/>
          <w:sz w:val="20"/>
          <w:szCs w:val="20"/>
          <w:lang w:val="es-EC"/>
        </w:rPr>
        <w:t>Siembra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’s editorial process </w:t>
      </w:r>
    </w:p>
    <w:p w14:paraId="34DD506E" w14:textId="7E5B9B3A" w:rsidR="00227FED" w:rsidRPr="00FC4FF4" w:rsidRDefault="00227FED" w:rsidP="00227FED">
      <w:pPr>
        <w:jc w:val="both"/>
        <w:rPr>
          <w:rFonts w:ascii="Arial" w:hAnsi="Arial" w:cs="Arial"/>
          <w:i/>
          <w:iCs/>
          <w:sz w:val="20"/>
          <w:szCs w:val="20"/>
          <w:lang w:val="es-EC"/>
        </w:rPr>
      </w:pPr>
      <w:r w:rsidRPr="00FC4FF4"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Figura 1.</w:t>
      </w:r>
      <w:r w:rsidRPr="00FC4FF4"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r w:rsidR="007B5499" w:rsidRPr="00FC4FF4">
        <w:rPr>
          <w:rFonts w:ascii="Arial" w:hAnsi="Arial" w:cs="Arial"/>
          <w:i/>
          <w:iCs/>
          <w:sz w:val="20"/>
          <w:szCs w:val="20"/>
          <w:lang w:val="es-EC"/>
        </w:rPr>
        <w:t>Proceso editorial de Siembra</w:t>
      </w:r>
      <w:r w:rsidRPr="00FC4FF4">
        <w:rPr>
          <w:rFonts w:ascii="Arial" w:hAnsi="Arial" w:cs="Arial"/>
          <w:i/>
          <w:iCs/>
          <w:sz w:val="20"/>
          <w:szCs w:val="20"/>
          <w:lang w:val="es-EC"/>
        </w:rPr>
        <w:t>.</w:t>
      </w:r>
    </w:p>
    <w:p w14:paraId="3EAF1911" w14:textId="724053AD" w:rsidR="008D2FBB" w:rsidRPr="00895025" w:rsidRDefault="008D2FBB" w:rsidP="008D2FBB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3.4. </w:t>
      </w:r>
      <w:r w:rsidR="00644674" w:rsidRPr="0064467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Equations</w:t>
      </w:r>
    </w:p>
    <w:p w14:paraId="4FAC9513" w14:textId="0B21EB49" w:rsidR="008D2FBB" w:rsidRPr="00895025" w:rsidRDefault="00644674" w:rsidP="008D2FBB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4467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Equations should be prepared in Word's Equation Editor, and numbered with Arabic numerals in square brackets, aligned to the right. </w:t>
      </w:r>
      <w:r w:rsidRPr="00FC4FF4">
        <w:rPr>
          <w:rFonts w:ascii="Arial" w:hAnsi="Arial" w:cs="Arial"/>
          <w:color w:val="000000" w:themeColor="text1"/>
          <w:sz w:val="20"/>
          <w:szCs w:val="20"/>
          <w:lang w:val="en-US"/>
        </w:rPr>
        <w:t>Equations should be cited in the text (equation [1], equation [2]).</w:t>
      </w:r>
    </w:p>
    <w:p w14:paraId="3C43A9FA" w14:textId="432575E6" w:rsidR="008D2FBB" w:rsidRPr="00895025" w:rsidRDefault="008D2FBB" w:rsidP="008D2FBB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n=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×p×q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N-1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×p×q</m:t>
            </m:r>
          </m:den>
        </m:f>
      </m:oMath>
      <w:r w:rsidRPr="00895025">
        <w:rPr>
          <w:rFonts w:ascii="Arial" w:hAnsi="Arial" w:cs="Arial"/>
          <w:sz w:val="20"/>
          <w:szCs w:val="20"/>
          <w:lang w:val="en-US"/>
        </w:rPr>
        <w:t xml:space="preserve">  </w:t>
      </w:r>
      <w:r w:rsidRPr="00895025">
        <w:rPr>
          <w:rFonts w:ascii="Arial" w:hAnsi="Arial" w:cs="Arial"/>
          <w:sz w:val="20"/>
          <w:szCs w:val="20"/>
          <w:lang w:val="en-US"/>
        </w:rPr>
        <w:tab/>
      </w:r>
      <w:r w:rsidR="0037179F" w:rsidRPr="00895025">
        <w:rPr>
          <w:rFonts w:ascii="Arial" w:hAnsi="Arial" w:cs="Arial"/>
          <w:sz w:val="20"/>
          <w:szCs w:val="20"/>
          <w:lang w:val="en-US"/>
        </w:rPr>
        <w:tab/>
      </w:r>
      <w:r w:rsidRPr="00895025">
        <w:rPr>
          <w:rFonts w:ascii="Arial" w:hAnsi="Arial" w:cs="Arial"/>
          <w:sz w:val="20"/>
          <w:szCs w:val="20"/>
          <w:lang w:val="en-US"/>
        </w:rPr>
        <w:tab/>
      </w:r>
      <w:r w:rsidRPr="00895025">
        <w:rPr>
          <w:rFonts w:ascii="Arial" w:hAnsi="Arial" w:cs="Arial"/>
          <w:sz w:val="20"/>
          <w:szCs w:val="20"/>
          <w:lang w:val="en-US"/>
        </w:rPr>
        <w:tab/>
        <w:t>[1]</w:t>
      </w:r>
    </w:p>
    <w:bookmarkEnd w:id="3"/>
    <w:p w14:paraId="43C07283" w14:textId="584323F4" w:rsidR="00384D81" w:rsidRPr="00895025" w:rsidRDefault="00384D81" w:rsidP="00384D81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3.5. </w:t>
      </w:r>
      <w:r w:rsidR="00971220" w:rsidRPr="0097122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Reference format</w:t>
      </w:r>
    </w:p>
    <w:p w14:paraId="4AE36D8D" w14:textId="716907A4" w:rsidR="00384D81" w:rsidRPr="00895025" w:rsidRDefault="00B35542" w:rsidP="00384D8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35542">
        <w:rPr>
          <w:rFonts w:ascii="Arial" w:hAnsi="Arial" w:cs="Arial"/>
          <w:sz w:val="20"/>
          <w:szCs w:val="20"/>
          <w:lang w:val="en-US"/>
        </w:rPr>
        <w:t xml:space="preserve">In accordance with institutional policy, in-text citations and references </w:t>
      </w:r>
      <w:r>
        <w:rPr>
          <w:rFonts w:ascii="Arial" w:hAnsi="Arial" w:cs="Arial"/>
          <w:sz w:val="20"/>
          <w:szCs w:val="20"/>
          <w:lang w:val="en-US"/>
        </w:rPr>
        <w:t>must</w:t>
      </w:r>
      <w:r w:rsidRPr="00B35542">
        <w:rPr>
          <w:rFonts w:ascii="Arial" w:hAnsi="Arial" w:cs="Arial"/>
          <w:sz w:val="20"/>
          <w:szCs w:val="20"/>
          <w:lang w:val="en-US"/>
        </w:rPr>
        <w:t xml:space="preserve"> follow APA 7th edition referencing style. References should be arranged in alphabetical order. Examples of references are given below:</w:t>
      </w:r>
    </w:p>
    <w:p w14:paraId="11EEA12D" w14:textId="3C54C605" w:rsidR="00384D81" w:rsidRPr="00FC4FF4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Books</w:t>
      </w:r>
    </w:p>
    <w:p w14:paraId="0AAA04DB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de la Torre, L., Navarrete, H., Muriel, P., Macía, M., &amp; Balslev, H. (2008).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 E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nciclopedia de las plantas útiles del Ecuador</w:t>
      </w:r>
      <w:r w:rsidRPr="00FC4FF4">
        <w:rPr>
          <w:rFonts w:ascii="Arial" w:hAnsi="Arial" w:cs="Arial"/>
          <w:sz w:val="20"/>
          <w:szCs w:val="20"/>
          <w:lang w:val="es-EC"/>
        </w:rPr>
        <w:t> (1a ed.). Aarhus.</w:t>
      </w:r>
    </w:p>
    <w:p w14:paraId="3789004E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895025">
        <w:rPr>
          <w:rFonts w:ascii="Arial" w:hAnsi="Arial" w:cs="Arial"/>
          <w:sz w:val="20"/>
          <w:szCs w:val="20"/>
          <w:lang w:val="en-US"/>
        </w:rPr>
        <w:t>Ricke, S. C., Atungulu, G. G., Si, C. E. R., &amp; Park, H. (2018).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 Edited by</w:t>
      </w:r>
      <w:r w:rsidRPr="00895025">
        <w:rPr>
          <w:rFonts w:ascii="Arial" w:hAnsi="Arial" w:cs="Arial"/>
          <w:sz w:val="20"/>
          <w:szCs w:val="20"/>
          <w:lang w:val="en-US"/>
        </w:rPr>
        <w:t>.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. Academic Press Books - Elsevier. </w:t>
      </w:r>
      <w:hyperlink r:id="rId6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https://doi.org/10.1088/0004-637X/779/1/11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1DDD7366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Sundström, S. (2003).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 El ecoturismo como instrumento para desarrollo sostenible: Un estudio comparativo de campo entre Suecia y Ecuador. </w:t>
      </w:r>
      <w:r w:rsidRPr="00FC4FF4">
        <w:rPr>
          <w:rFonts w:ascii="Arial" w:hAnsi="Arial" w:cs="Arial"/>
          <w:sz w:val="20"/>
          <w:szCs w:val="20"/>
          <w:lang w:val="es-EC"/>
        </w:rPr>
        <w:t>Institutionen för Kultur och kommunikation.</w:t>
      </w:r>
    </w:p>
    <w:p w14:paraId="53A0D955" w14:textId="11AE0C1C" w:rsidR="00384D81" w:rsidRPr="00FC4FF4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Book chapters</w:t>
      </w:r>
    </w:p>
    <w:p w14:paraId="5CBE8471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Gutiérrez Villalpando, Martínez Corona, B., &amp; Salvatierra Izaba, B. (2019). Género y Vulnerabilidad del agua ante la variabilidad climática en la Sierra Nevada de Puebla. En D. A. Fabre Platas, I. Ortiz Sánchez, &amp; G. Busso (Coords.), </w:t>
      </w:r>
      <w:r w:rsidRPr="00FC4FF4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Agua: Territorialidades y dimensionalidades de análisis</w:t>
      </w:r>
      <w:r w:rsidRPr="00FC4FF4">
        <w:rPr>
          <w:rFonts w:ascii="Arial" w:hAnsi="Arial" w:cs="Arial"/>
          <w:sz w:val="20"/>
          <w:szCs w:val="20"/>
          <w:lang w:val="es-EC"/>
        </w:rPr>
        <w:t> (pp. 463-483). Serie Mano Vuelta. Editorial Resistencia SA de CV</w:t>
      </w:r>
    </w:p>
    <w:p w14:paraId="13EBD8D7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O’Bryan, C. A., Crandall, P. G., &amp; Ricke, S. C. (2017). </w:t>
      </w:r>
      <w:r w:rsidRPr="00895025">
        <w:rPr>
          <w:rFonts w:ascii="Arial" w:hAnsi="Arial" w:cs="Arial"/>
          <w:sz w:val="20"/>
          <w:szCs w:val="20"/>
          <w:lang w:val="en-US"/>
        </w:rPr>
        <w:t>Antimicrobial Resistance in Foodborne Pathogens. In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 (pp. 99–115). Cambridge, Massachusetts, Estados Unidos: Academic Press Books - Elsevier. </w:t>
      </w:r>
      <w:hyperlink r:id="rId7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https://doi.org/10.1016/B978-0-12-811835-1.00006-3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9EA7843" w14:textId="77777777" w:rsidR="00384D81" w:rsidRPr="00895025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4FF4">
        <w:rPr>
          <w:rFonts w:ascii="Arial" w:hAnsi="Arial" w:cs="Arial"/>
          <w:sz w:val="20"/>
          <w:szCs w:val="20"/>
          <w:lang w:val="es-EC"/>
        </w:rPr>
        <w:t>Piñero, D., Caballero-Mellado, J., Cabrera-Toledo, D., Canteros, C., Casas, A., Castañeda, A., Castillo, A., Cerritos, R., Chassin-Noria, O., Colunga-García, N., Delgado, P., Díaz-Jaimes, P., Eguiarte L., Escalante, A., Espinoza, B., Fleury, A., Flores, S., Fragoso, G., González-Astorga, J., Islas, V., Martínez, E., Martínez, F., Martínez-Castillo, J., Mastretta, A., Medellín, R., Medrano-González, L., Molina-Freaner, F., Morales, B., Murguía, A., Vega, A., Payró, E., Reyes-Montes, M., Robles, M., Rodríguez-Arellanes, G., Rojas, L., Romero-Martínez, R., Sahaza-Cardona, J., Salas, R., Sciutto, E., Scott, C., Schramm, Y., Silva, C., Souza, V., Taylor, M., Urbán, J., Uribe-Alcócer, M., Vázquez, M., Vázquez-Domínguez, E., Vovides, A., Wegier, A., Zaldívar, A., &amp; Zúñiga, G. (2008). La diversidad genética como instrumento de la conservación y el aprovechamiento de la biodiversidad: estudios en especies mexicanas. En </w:t>
      </w:r>
      <w:r w:rsidRPr="00FC4FF4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Capital natural de México, vol. I: Conocimiento actual de la biodiversidad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 (pp. 437-494). </w:t>
      </w:r>
      <w:r w:rsidRPr="00895025">
        <w:rPr>
          <w:rFonts w:ascii="Arial" w:hAnsi="Arial" w:cs="Arial"/>
          <w:sz w:val="20"/>
          <w:szCs w:val="20"/>
          <w:lang w:val="en-US"/>
        </w:rPr>
        <w:t>México: CONABIO.</w:t>
      </w:r>
    </w:p>
    <w:p w14:paraId="1314791C" w14:textId="77777777" w:rsidR="00384D81" w:rsidRPr="00895025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95025">
        <w:rPr>
          <w:rFonts w:ascii="Arial" w:hAnsi="Arial" w:cs="Arial"/>
          <w:sz w:val="20"/>
          <w:szCs w:val="20"/>
          <w:lang w:val="en-US"/>
        </w:rPr>
        <w:t>Sloan, P. (2009). Sustainable Development in the Hospitality Industry. In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Sustainability in the Hospitality Industry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 (pp. 1–12). Great Britain: Elsevier Inc. </w:t>
      </w:r>
      <w:hyperlink r:id="rId8" w:history="1">
        <w:r w:rsidRPr="00895025">
          <w:rPr>
            <w:rStyle w:val="Hipervnculo"/>
            <w:rFonts w:ascii="Arial" w:hAnsi="Arial" w:cs="Arial"/>
            <w:sz w:val="20"/>
            <w:szCs w:val="20"/>
            <w:lang w:val="en-US"/>
          </w:rPr>
          <w:t>https://doi.org/10.1016/B978-0-7506-7968-8.00001-6</w:t>
        </w:r>
      </w:hyperlink>
      <w:r w:rsidRPr="0089502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376E7B0" w14:textId="353661C3" w:rsidR="00384D81" w:rsidRPr="00FC4FF4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Articles</w:t>
      </w:r>
    </w:p>
    <w:p w14:paraId="53A30D79" w14:textId="77777777" w:rsidR="00384D81" w:rsidRPr="00895025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4FF4">
        <w:rPr>
          <w:rFonts w:ascii="Arial" w:hAnsi="Arial" w:cs="Arial"/>
          <w:sz w:val="20"/>
          <w:szCs w:val="20"/>
          <w:lang w:val="es-EC"/>
        </w:rPr>
        <w:t>Hernández Pardo, P. (2011). Ecoturismo en Ecuador: El caso del Oglán alto. </w:t>
      </w:r>
      <w:r w:rsidRPr="00895025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ECA Sinergia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, 2</w:t>
      </w:r>
      <w:r w:rsidRPr="00895025">
        <w:rPr>
          <w:rFonts w:ascii="Arial" w:hAnsi="Arial" w:cs="Arial"/>
          <w:sz w:val="20"/>
          <w:szCs w:val="20"/>
          <w:lang w:val="en-US"/>
        </w:rPr>
        <w:t>(1), 9-17.</w:t>
      </w:r>
    </w:p>
    <w:p w14:paraId="3148C030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895025">
        <w:rPr>
          <w:rFonts w:ascii="Arial" w:hAnsi="Arial" w:cs="Arial"/>
          <w:sz w:val="20"/>
          <w:szCs w:val="20"/>
          <w:lang w:val="en-US"/>
        </w:rPr>
        <w:t>Meyer, S. T., Heuss, L., Feldhaar, H., Weisser, W. W., &amp; Gossner, M. M. (2019). Land-use components, abundance of predatory arthropods, and vegetation height affect predation rates in grasslands.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Agriculture, Ecosystems &amp; Environment</w:t>
      </w:r>
      <w:r w:rsidRPr="00FC4FF4">
        <w:rPr>
          <w:rFonts w:ascii="Arial" w:hAnsi="Arial" w:cs="Arial"/>
          <w:sz w:val="20"/>
          <w:szCs w:val="20"/>
          <w:lang w:val="es-EC"/>
        </w:rPr>
        <w:t>,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270</w:t>
      </w:r>
      <w:r w:rsidRPr="00FC4FF4">
        <w:rPr>
          <w:rFonts w:ascii="Arial" w:hAnsi="Arial" w:cs="Arial"/>
          <w:sz w:val="20"/>
          <w:szCs w:val="20"/>
          <w:lang w:val="es-EC"/>
        </w:rPr>
        <w:t>–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271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, 84–92. </w:t>
      </w:r>
      <w:hyperlink r:id="rId9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https://doi.org/10.1016/j.agee.2018.10.015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4F01B420" w14:textId="77777777" w:rsidR="00384D81" w:rsidRPr="00895025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4FF4">
        <w:rPr>
          <w:rFonts w:ascii="Arial" w:hAnsi="Arial" w:cs="Arial"/>
          <w:sz w:val="20"/>
          <w:szCs w:val="20"/>
          <w:lang w:val="es-EC"/>
        </w:rPr>
        <w:lastRenderedPageBreak/>
        <w:t>Mora Pisco, C. I., Montilla Pacheco, A. J. &amp; Mora Pisco, L. L. (2019). Perspectivas y potencialidades del cantón Manta para la implementación de un plan de marketing turístico. </w:t>
      </w:r>
      <w:r w:rsidRPr="00895025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TURyDES, 12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(26), </w:t>
      </w:r>
      <w:hyperlink r:id="rId10" w:history="1">
        <w:r w:rsidRPr="00895025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https://www.eumed.net/rev/turydes/26/marketing-turistico-manta.html</w:t>
        </w:r>
      </w:hyperlink>
      <w:r w:rsidRPr="0089502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67FC6E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Orgaz-Agüera, F., &amp; Cañero Morales, P. (2017). Ecoturismo y desarrollo sostenible. Un estudio de caso en comunidades rurales de República Dominicana. </w:t>
      </w:r>
      <w:r w:rsidRPr="00FC4FF4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PASOS Revista de Turismo y Patrimonio Cultural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, 13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(6), 1425-1435. </w:t>
      </w:r>
      <w:hyperlink r:id="rId11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https://doi.org/10.25145/j.pasos.2015.13.099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234BC268" w14:textId="77777777" w:rsidR="00384D81" w:rsidRPr="00895025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Vallverdú-Queralt, A., Raquiero, J., Martínez-Huelamo, M., Rinaldi, J., Leal, L., &amp; Lamuela-Raventos, R. (2014). </w:t>
      </w:r>
      <w:r w:rsidRPr="00895025">
        <w:rPr>
          <w:rFonts w:ascii="Arial" w:hAnsi="Arial" w:cs="Arial"/>
          <w:sz w:val="20"/>
          <w:szCs w:val="20"/>
          <w:lang w:val="en-US"/>
        </w:rPr>
        <w:t>A comprehensive study on the phenolic profile of widely used culinary herbs and spices: rosemary, thyme, oregano, cinnamon, cumin and bay. </w:t>
      </w:r>
      <w:r w:rsidRPr="00895025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Food Chemistry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, 154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(1), 299-307. </w:t>
      </w:r>
      <w:hyperlink r:id="rId12" w:history="1">
        <w:r w:rsidRPr="00895025">
          <w:rPr>
            <w:rStyle w:val="Hipervnculo"/>
            <w:rFonts w:ascii="Arial" w:hAnsi="Arial" w:cs="Arial"/>
            <w:sz w:val="20"/>
            <w:szCs w:val="20"/>
            <w:lang w:val="en-US"/>
          </w:rPr>
          <w:t>https://doi.org/10.1016/j.foodchem.2013.12.106</w:t>
        </w:r>
      </w:hyperlink>
      <w:r w:rsidRPr="0089502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C6DDD55" w14:textId="7C1ADB95" w:rsidR="00384D81" w:rsidRPr="00895025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  <w:lang w:val="en-US"/>
        </w:rPr>
      </w:pPr>
      <w:r w:rsidRPr="00B35542">
        <w:rPr>
          <w:rStyle w:val="Textoennegrita"/>
          <w:rFonts w:ascii="Arial" w:hAnsi="Arial" w:cs="Arial"/>
          <w:i/>
          <w:iCs/>
          <w:sz w:val="20"/>
          <w:szCs w:val="20"/>
          <w:lang w:val="en-US"/>
        </w:rPr>
        <w:t>Conference</w:t>
      </w:r>
    </w:p>
    <w:p w14:paraId="0DD0DFA5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895025">
        <w:rPr>
          <w:rFonts w:ascii="Arial" w:hAnsi="Arial" w:cs="Arial"/>
          <w:sz w:val="20"/>
          <w:szCs w:val="20"/>
          <w:lang w:val="en-US"/>
        </w:rPr>
        <w:t xml:space="preserve">Prado, O., Morales, E., &amp; Macedo, R. (2010). </w:t>
      </w:r>
      <w:r w:rsidRPr="00FC4FF4">
        <w:rPr>
          <w:rFonts w:ascii="Arial" w:hAnsi="Arial" w:cs="Arial"/>
          <w:sz w:val="20"/>
          <w:szCs w:val="20"/>
          <w:lang w:val="es-EC"/>
        </w:rPr>
        <w:t>Factores de riesgo relacionados con tiempo de retiro de agua y alimento, captura, transporte y espera sobre la mortalidad de pollos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. En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Memorias de la Tercera Reunión Anual de la Asociación de Especialistas en Ciencias Avícolas del Centro de México A.C.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 </w:t>
      </w:r>
      <w:r w:rsidRPr="00FC4FF4">
        <w:rPr>
          <w:rFonts w:ascii="Arial" w:hAnsi="Arial" w:cs="Arial"/>
          <w:sz w:val="20"/>
          <w:szCs w:val="20"/>
          <w:lang w:val="es-EC"/>
        </w:rPr>
        <w:t>(pp. 86-92). Asociación de Especialistas en Ciencias Avícolas del Centro de México A.C.</w:t>
      </w:r>
    </w:p>
    <w:p w14:paraId="212087A6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Zavala-Nigoa, J., Loarca-Piña, G., &amp; García-García, T. (2010).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 xml:space="preserve">Evaluación del contenido fenólico, capacidad </w:t>
      </w:r>
      <w:r w:rsidRPr="00FC4FF4">
        <w:rPr>
          <w:rFonts w:ascii="Arial" w:hAnsi="Arial" w:cs="Arial"/>
          <w:i/>
          <w:iCs/>
          <w:lang w:val="es-EC"/>
        </w:rPr>
        <w:t>antioxidante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 xml:space="preserve"> y actividad citotóxica sobre células caco-2 del extracto acuoso de orégano (Lippia graveolens KUNT)</w:t>
      </w:r>
      <w:r w:rsidRPr="00FC4FF4">
        <w:rPr>
          <w:rFonts w:ascii="Arial" w:hAnsi="Arial" w:cs="Arial"/>
          <w:sz w:val="20"/>
          <w:szCs w:val="20"/>
          <w:lang w:val="es-EC"/>
        </w:rPr>
        <w:t>. 2.º Congreso Nacional de Química Médica. Querétaro.</w:t>
      </w:r>
    </w:p>
    <w:p w14:paraId="7800A273" w14:textId="7E0AD5BE" w:rsidR="00384D81" w:rsidRPr="00FC4FF4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Thesis</w:t>
      </w:r>
    </w:p>
    <w:p w14:paraId="4B6509FE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Bonilla Villota, S. X. (2018).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Efecto del 1-Metilciclopropeno en la inhibición del etileno en la maduración de Chirimoya (Annona cherimola Mill)</w:t>
      </w:r>
      <w:r w:rsidRPr="00FC4FF4">
        <w:rPr>
          <w:rFonts w:ascii="Arial" w:hAnsi="Arial" w:cs="Arial"/>
          <w:sz w:val="20"/>
          <w:szCs w:val="20"/>
          <w:lang w:val="es-EC"/>
        </w:rPr>
        <w:t>. Universidad Central del Ecuador.</w:t>
      </w:r>
    </w:p>
    <w:p w14:paraId="7E3D249E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Rojas Landacay, D. E., &amp; González, C. de L. Á. (2011).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Propuesta de adecuación y señalización del sendero turístico intervalles de las parroquias surorientales de Malacatos, San Pedro de Vilcabamba y Vilcabamba del cantón Loja, provincia de Loja</w:t>
      </w:r>
      <w:r w:rsidRPr="00FC4FF4">
        <w:rPr>
          <w:rFonts w:ascii="Arial" w:hAnsi="Arial" w:cs="Arial"/>
          <w:sz w:val="20"/>
          <w:szCs w:val="20"/>
          <w:lang w:val="es-EC"/>
        </w:rPr>
        <w:t>. Universidad Técnica Particular de Loja.</w:t>
      </w:r>
    </w:p>
    <w:p w14:paraId="0AB2CF51" w14:textId="5506A270" w:rsidR="00384D81" w:rsidRPr="00FC4FF4" w:rsidRDefault="00B35542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Data base</w:t>
      </w:r>
    </w:p>
    <w:p w14:paraId="08C80B1B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Instituto Nacional de Estadísticas y Censos [INEC]. (2010).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Censo de Población y Vivienda</w:t>
      </w:r>
      <w:r w:rsidRPr="00FC4FF4">
        <w:rPr>
          <w:rFonts w:ascii="Arial" w:hAnsi="Arial" w:cs="Arial"/>
          <w:sz w:val="20"/>
          <w:szCs w:val="20"/>
          <w:lang w:val="es-EC"/>
        </w:rPr>
        <w:t>. Instituto Nacional de Estadísticas y Censos</w:t>
      </w:r>
    </w:p>
    <w:p w14:paraId="7D5EB284" w14:textId="3B934E9A" w:rsidR="00384D81" w:rsidRPr="00FC4FF4" w:rsidRDefault="00ED3018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Technical Report</w:t>
      </w:r>
    </w:p>
    <w:p w14:paraId="34F37C7F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Bustamante, M. (2007).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Política de reinversión para el complejo termal de la comunidad de Oyacachi en la Reserva Ecológica Cayambe Coca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. </w:t>
      </w:r>
      <w:r w:rsidRPr="00FC4FF4">
        <w:rPr>
          <w:rFonts w:ascii="Arial" w:hAnsi="Arial" w:cs="Arial"/>
          <w:sz w:val="20"/>
          <w:szCs w:val="20"/>
          <w:lang w:val="es-EC"/>
        </w:rPr>
        <w:t>Programa Parques en peligro. Ecociencia, Fundación Ecológica Rumicocha, Ministerio del Ambiente, Fundación Antisana, The Nature Conservancy, &amp; USAID.</w:t>
      </w:r>
    </w:p>
    <w:p w14:paraId="7BFBE86D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Escobar Manosalvas, J. (2018).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Guía de capacitación para agricultores familiares dedicados a la producción lechera</w:t>
      </w:r>
      <w:r w:rsidRPr="00FC4FF4">
        <w:rPr>
          <w:rFonts w:ascii="Arial" w:hAnsi="Arial" w:cs="Arial"/>
          <w:sz w:val="20"/>
          <w:szCs w:val="20"/>
          <w:lang w:val="es-EC"/>
        </w:rPr>
        <w:t>. Quito: Instituto Interamericano de Cooperación para la Agricultura (IICA).</w:t>
      </w:r>
    </w:p>
    <w:p w14:paraId="0A10AB11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Programa de las Naciones Unidas para el Medio Ambiente [PNUMA] &amp; Organización Mundial del Turismo [OMT]. (2006).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Por un turismo más sostenible. Guía para responsables políticos</w:t>
      </w:r>
      <w:r w:rsidRPr="00FC4FF4">
        <w:rPr>
          <w:rFonts w:ascii="Arial" w:hAnsi="Arial" w:cs="Arial"/>
          <w:sz w:val="20"/>
          <w:szCs w:val="20"/>
          <w:lang w:val="es-EC"/>
        </w:rPr>
        <w:t> (CEDEX). París: PNUE DTIE. </w:t>
      </w:r>
      <w:hyperlink r:id="rId13" w:history="1">
        <w:r w:rsidRPr="00FC4FF4">
          <w:rPr>
            <w:rStyle w:val="Hipervnculo"/>
            <w:rFonts w:ascii="Arial" w:hAnsi="Arial" w:cs="Arial"/>
            <w:color w:val="007AB2"/>
            <w:sz w:val="20"/>
            <w:szCs w:val="20"/>
            <w:lang w:val="es-EC"/>
          </w:rPr>
          <w:t>https://doi.org/10.18111/9789284411894</w:t>
        </w:r>
      </w:hyperlink>
    </w:p>
    <w:p w14:paraId="3C7F5C41" w14:textId="316C1FF1" w:rsidR="00384D81" w:rsidRPr="00FC4FF4" w:rsidRDefault="00ED3018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Law</w:t>
      </w:r>
    </w:p>
    <w:p w14:paraId="7D03027A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Ley de Gestión Ambiental del Ecuador. Ley Nro.99-37, 38. Registro Oficial No. 245 14. 30 de julio de 1999.</w:t>
      </w:r>
    </w:p>
    <w:p w14:paraId="7782EC7E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Norma Oficial Mexicana NOM-161-SEMARNAT-2011, Que establece los criterios para clasificar a los Residuos de Manejo Especial y determinar cuáles están sujetos a Plan de Manejo; el listado </w:t>
      </w:r>
      <w:r w:rsidRPr="00FC4FF4">
        <w:rPr>
          <w:rFonts w:ascii="Arial" w:hAnsi="Arial" w:cs="Arial"/>
          <w:sz w:val="20"/>
          <w:szCs w:val="20"/>
          <w:lang w:val="es-EC"/>
        </w:rPr>
        <w:lastRenderedPageBreak/>
        <w:t xml:space="preserve">de los mismos, el procedimiento para la inclusión o exclusión a dicho listado; así como los elementos y procedimientos para la formulación de los planes de manejo. 23 de noviembre de 2012 (México). </w:t>
      </w:r>
      <w:hyperlink r:id="rId14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http://www.dof.gob.mx/nota_detalle.php?codigo=5286505&amp;fecha=01/02/2013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74B78672" w14:textId="70233392" w:rsidR="00384D81" w:rsidRPr="00FC4FF4" w:rsidRDefault="00ED3018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Web page</w:t>
      </w:r>
    </w:p>
    <w:p w14:paraId="3FADBA2D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Ministerio de Turismo [MINTUR]. (2015). Movimientos Internacionales - Portal Servicios MINTUR.  http://servicios.turismo.gob.ec/index.php/turismo-cifras/2018-09-19-17-01-51/movimientos-internacionales</w:t>
      </w:r>
    </w:p>
    <w:p w14:paraId="06CC2672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Ministerio de Agricultura y Ganadería. (2018). Redes Comerciales.  </w:t>
      </w:r>
      <w:hyperlink r:id="rId15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https://www.agricultura.gob.ec/redes-comerciales/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60EB8B93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Burgueño, E. (2020). Países con el mayor número de usuarios de Facebook en América Latina en abril de 2020. </w:t>
      </w:r>
      <w:hyperlink r:id="rId16" w:history="1">
        <w:r w:rsidRPr="00FC4FF4">
          <w:rPr>
            <w:rStyle w:val="Hipervnculo"/>
            <w:rFonts w:ascii="Arial" w:hAnsi="Arial" w:cs="Arial"/>
            <w:sz w:val="20"/>
            <w:szCs w:val="20"/>
          </w:rPr>
          <w:t>https://es.statista.com/estadisticas/1173450/paises-mayor-cantidad-usuarios-facebook-america-latina/</w:t>
        </w:r>
      </w:hyperlink>
      <w:r w:rsidRPr="00FC4FF4">
        <w:rPr>
          <w:rFonts w:ascii="Arial" w:hAnsi="Arial" w:cs="Arial"/>
          <w:sz w:val="20"/>
          <w:szCs w:val="20"/>
        </w:rPr>
        <w:t xml:space="preserve"> </w:t>
      </w:r>
    </w:p>
    <w:p w14:paraId="47566E07" w14:textId="1BDF3B98" w:rsidR="00384D81" w:rsidRPr="00FC4FF4" w:rsidRDefault="00ED3018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FC4FF4">
        <w:rPr>
          <w:rStyle w:val="Textoennegrita"/>
          <w:rFonts w:ascii="Arial" w:hAnsi="Arial" w:cs="Arial"/>
          <w:i/>
          <w:iCs/>
          <w:sz w:val="20"/>
          <w:szCs w:val="20"/>
        </w:rPr>
        <w:t>News</w:t>
      </w:r>
    </w:p>
    <w:p w14:paraId="59C7E466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Duarte, F. (9 de septiembre de 2019). Los países en los que la gente pasa más tiempo en las redes sociales (y los líderes en América Latina). BBC Mundo. </w:t>
      </w:r>
      <w:hyperlink r:id="rId17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https://www.bbc.com/mundo/noticias-49634612https://www.bbc.com/mundo/noticias-49634612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6491FF6F" w14:textId="77777777" w:rsidR="00384D81" w:rsidRPr="00FC4FF4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El Comercio. (14 de julio de 2020). 630 hoteles del Ecuador permanecen cerrados; algunos administradores analizan la suspensión definitiva. El Comercio. </w:t>
      </w:r>
      <w:hyperlink r:id="rId18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https://www.elcomercio.com/actualidad/hoteles-ecuador-cerrados-pandemia-coronavirus.html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3B77E385" w14:textId="77777777" w:rsidR="00384D81" w:rsidRPr="00FC4FF4" w:rsidRDefault="00384D81" w:rsidP="00227FED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14:paraId="4F882973" w14:textId="2856E0D9" w:rsidR="00227FED" w:rsidRPr="00895025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C95FA5">
        <w:rPr>
          <w:rFonts w:ascii="Arial" w:hAnsi="Arial" w:cs="Arial"/>
          <w:b/>
          <w:bCs/>
          <w:sz w:val="20"/>
          <w:szCs w:val="20"/>
          <w:lang w:val="en-US"/>
        </w:rPr>
        <w:t>Conclusions</w:t>
      </w:r>
      <w:r w:rsidRPr="00895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5B2BC51" w14:textId="7E1CCAF2" w:rsidR="00C95FA5" w:rsidRDefault="00C95FA5" w:rsidP="00C95F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95FA5">
        <w:rPr>
          <w:rFonts w:ascii="Arial" w:hAnsi="Arial" w:cs="Arial"/>
          <w:sz w:val="20"/>
          <w:szCs w:val="20"/>
          <w:lang w:val="en-US"/>
        </w:rPr>
        <w:t>Specific contributions to knowledge must be indicated in a definitive, summarized and accurate manner, supported by demonstrable and verifiable research results.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95FA5">
        <w:rPr>
          <w:rFonts w:ascii="Arial" w:hAnsi="Arial" w:cs="Arial"/>
          <w:sz w:val="20"/>
          <w:szCs w:val="20"/>
          <w:lang w:val="en-US"/>
        </w:rPr>
        <w:t>Conclusions should be limited to the results obtained and should not present arguments based on assumptions or conjecture.</w:t>
      </w:r>
    </w:p>
    <w:p w14:paraId="4E6F588F" w14:textId="63930280" w:rsidR="00227FED" w:rsidRPr="00FC4FF4" w:rsidRDefault="00C95FA5" w:rsidP="00227FED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FC4FF4">
        <w:rPr>
          <w:rFonts w:ascii="Arial" w:hAnsi="Arial" w:cs="Arial"/>
          <w:b/>
          <w:bCs/>
          <w:sz w:val="20"/>
          <w:szCs w:val="20"/>
          <w:lang w:val="es-EC"/>
        </w:rPr>
        <w:t>References</w:t>
      </w:r>
    </w:p>
    <w:p w14:paraId="40D9B4E8" w14:textId="77777777" w:rsidR="00384D81" w:rsidRPr="00FC4FF4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El Comercio. (14 de julio de 2020). 630 hoteles del Ecuador permanecen cerrados; algunos administradores analizan la suspensión definitiva. El Comercio. </w:t>
      </w:r>
      <w:hyperlink r:id="rId19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https://www.elcomercio.com/actualidad/hoteles-ecuador-cerrados-pandemia-coronavirus.html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7AFDEC9D" w14:textId="77777777" w:rsidR="00384D81" w:rsidRPr="00FC4FF4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Escobar Manosalvas, J. (2018).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Guía de capacitación para agricultores familiares dedicados a la producción lechera</w:t>
      </w:r>
      <w:r w:rsidRPr="00FC4FF4">
        <w:rPr>
          <w:rFonts w:ascii="Arial" w:hAnsi="Arial" w:cs="Arial"/>
          <w:sz w:val="20"/>
          <w:szCs w:val="20"/>
          <w:lang w:val="es-EC"/>
        </w:rPr>
        <w:t>. Quito: Instituto Interamericano de Cooperación para la Agricultura (IICA).</w:t>
      </w:r>
    </w:p>
    <w:p w14:paraId="7A6B360C" w14:textId="77777777" w:rsidR="00384D81" w:rsidRPr="00FC4FF4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Instituto Nacional de Estadísticas y Censos [INEC]. (2010).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Censo de Población y Vivienda</w:t>
      </w:r>
      <w:r w:rsidRPr="00FC4FF4">
        <w:rPr>
          <w:rFonts w:ascii="Arial" w:hAnsi="Arial" w:cs="Arial"/>
          <w:sz w:val="20"/>
          <w:szCs w:val="20"/>
          <w:lang w:val="es-EC"/>
        </w:rPr>
        <w:t>. Instituto Nacional de Estadísticas y Censos</w:t>
      </w:r>
    </w:p>
    <w:p w14:paraId="7E0563AA" w14:textId="77777777" w:rsidR="00384D81" w:rsidRPr="00FC4FF4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Ley de Gestión Ambiental del Ecuador. Ley Nro.99-37, 38. Registro Oficial No. 245 14. 30 de julio de 1999.</w:t>
      </w:r>
    </w:p>
    <w:p w14:paraId="2FCD73F5" w14:textId="77777777" w:rsidR="00384D81" w:rsidRPr="00FC4FF4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Meyer, S. T., Heuss, L., Feldhaar, H., Weisser, W. W., &amp; Gossner, M. M. (2019). </w:t>
      </w:r>
      <w:r w:rsidRPr="00895025">
        <w:rPr>
          <w:rFonts w:ascii="Arial" w:hAnsi="Arial" w:cs="Arial"/>
          <w:sz w:val="20"/>
          <w:szCs w:val="20"/>
          <w:lang w:val="en-US"/>
        </w:rPr>
        <w:t>Land-use components, abundance of predatory arthropods, and vegetation height affect predation rates in grasslands.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Agriculture, Ecosystems &amp; Environment</w:t>
      </w:r>
      <w:r w:rsidRPr="00FC4FF4">
        <w:rPr>
          <w:rFonts w:ascii="Arial" w:hAnsi="Arial" w:cs="Arial"/>
          <w:sz w:val="20"/>
          <w:szCs w:val="20"/>
          <w:lang w:val="es-EC"/>
        </w:rPr>
        <w:t>,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270</w:t>
      </w:r>
      <w:r w:rsidRPr="00FC4FF4">
        <w:rPr>
          <w:rFonts w:ascii="Arial" w:hAnsi="Arial" w:cs="Arial"/>
          <w:sz w:val="20"/>
          <w:szCs w:val="20"/>
          <w:lang w:val="es-EC"/>
        </w:rPr>
        <w:t>–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271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, 84–92. </w:t>
      </w:r>
      <w:hyperlink r:id="rId20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https://doi.org/10.1016/j.agee.2018.10.015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77E659F0" w14:textId="77777777" w:rsidR="00384D81" w:rsidRPr="00FC4FF4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 xml:space="preserve">Ministerio de Agricultura y Ganadería. (2018). Redes Comerciales.  </w:t>
      </w:r>
      <w:hyperlink r:id="rId21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https://www.agricultura.gob.ec/redes-comerciales/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B154785" w14:textId="77777777" w:rsidR="00384D81" w:rsidRPr="00FC4FF4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895025">
        <w:rPr>
          <w:rFonts w:ascii="Arial" w:hAnsi="Arial" w:cs="Arial"/>
          <w:sz w:val="20"/>
          <w:szCs w:val="20"/>
          <w:lang w:val="en-US"/>
        </w:rPr>
        <w:t>O’Bryan, C. A., Crandall, P. G., &amp; Ricke, S. C. (2017). Antimicrobial Resistance in Foodborne Pathogens. In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 (pp. 99–115). Cambridge, Massachusetts, Estados Unidos: Academic Press Books - Elsevier. </w:t>
      </w:r>
      <w:hyperlink r:id="rId22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https://doi.org/10.1016/B978-0-12-811835-1.00006-3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A65928E" w14:textId="77777777" w:rsidR="00384D81" w:rsidRPr="00FC4FF4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lastRenderedPageBreak/>
        <w:t>Orgaz-Agüera, F., &amp; Cañero Morales, P. (2017). Ecoturismo y desarrollo sostenible. Un estudio de caso en comunidades rurales de República Dominicana. </w:t>
      </w:r>
      <w:r w:rsidRPr="00FC4FF4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PASOS Revista de Turismo y Patrimonio Cultural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, 13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(6), 1425-1435. </w:t>
      </w:r>
      <w:hyperlink r:id="rId23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https://doi.org/10.25145/j.pasos.2015.13.099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05B4383E" w14:textId="77777777" w:rsidR="00384D81" w:rsidRPr="00FC4FF4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FC4FF4">
        <w:rPr>
          <w:rFonts w:ascii="Arial" w:hAnsi="Arial" w:cs="Arial"/>
          <w:sz w:val="20"/>
          <w:szCs w:val="20"/>
          <w:lang w:val="es-EC"/>
        </w:rPr>
        <w:t>Prado, O., Morales, E., &amp; Macedo, R. (2010). Factores de riesgo relacionados con tiempo de retiro de agua y alimento, captura, transporte y espera sobre la mortalidad de pollos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. En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Memorias de la Tercera Reunión Anual de la Asociación de Especialistas en Ciencias Avícolas del Centro de México A.C.</w:t>
      </w:r>
      <w:r w:rsidRPr="00FC4FF4">
        <w:rPr>
          <w:rStyle w:val="italica"/>
          <w:rFonts w:ascii="Arial" w:hAnsi="Arial" w:cs="Arial"/>
          <w:sz w:val="20"/>
          <w:szCs w:val="20"/>
          <w:lang w:val="es-EC"/>
        </w:rPr>
        <w:t> </w:t>
      </w:r>
      <w:r w:rsidRPr="00FC4FF4">
        <w:rPr>
          <w:rFonts w:ascii="Arial" w:hAnsi="Arial" w:cs="Arial"/>
          <w:sz w:val="20"/>
          <w:szCs w:val="20"/>
          <w:lang w:val="es-EC"/>
        </w:rPr>
        <w:t>(pp. 86-92). Asociación de Especialistas en Ciencias Avícolas del Centro de México A.C.</w:t>
      </w:r>
    </w:p>
    <w:p w14:paraId="6DDE5027" w14:textId="77777777" w:rsidR="00384D81" w:rsidRPr="00FC4FF4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895025">
        <w:rPr>
          <w:rFonts w:ascii="Arial" w:hAnsi="Arial" w:cs="Arial"/>
          <w:sz w:val="20"/>
          <w:szCs w:val="20"/>
          <w:lang w:val="en-US"/>
        </w:rPr>
        <w:t>Ricke, S. C., Atungulu, G. G., Si, C. E. R., &amp; Park, H. (2018).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 Edited by</w:t>
      </w:r>
      <w:r w:rsidRPr="00895025">
        <w:rPr>
          <w:rFonts w:ascii="Arial" w:hAnsi="Arial" w:cs="Arial"/>
          <w:sz w:val="20"/>
          <w:szCs w:val="20"/>
          <w:lang w:val="en-US"/>
        </w:rPr>
        <w:t>. </w:t>
      </w:r>
      <w:r w:rsidRPr="00895025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895025">
        <w:rPr>
          <w:rFonts w:ascii="Arial" w:hAnsi="Arial" w:cs="Arial"/>
          <w:sz w:val="20"/>
          <w:szCs w:val="20"/>
          <w:lang w:val="en-US"/>
        </w:rPr>
        <w:t xml:space="preserve">. Academic Press Books - Elsevier. </w:t>
      </w:r>
      <w:hyperlink r:id="rId24" w:history="1">
        <w:r w:rsidRPr="00FC4FF4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https://doi.org/10.1088/0004-637X/779/1/11</w:t>
        </w:r>
      </w:hyperlink>
      <w:r w:rsidRPr="00FC4FF4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04B5D9C3" w14:textId="77777777" w:rsidR="00384D81" w:rsidRPr="00895025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4FF4">
        <w:rPr>
          <w:rFonts w:ascii="Arial" w:hAnsi="Arial" w:cs="Arial"/>
          <w:sz w:val="20"/>
          <w:szCs w:val="20"/>
          <w:lang w:val="es-EC"/>
        </w:rPr>
        <w:t>Rojas Landacay, D. E., &amp; González, C. de L. Á. (2011). </w:t>
      </w:r>
      <w:r w:rsidRPr="00FC4FF4">
        <w:rPr>
          <w:rStyle w:val="nfasis"/>
          <w:rFonts w:ascii="Arial" w:hAnsi="Arial" w:cs="Arial"/>
          <w:sz w:val="20"/>
          <w:szCs w:val="20"/>
          <w:lang w:val="es-EC"/>
        </w:rPr>
        <w:t>Propuesta de adecuación y señalización del sendero turístico intervalles de las parroquias surorientales de Malacatos, San Pedro de Vilcabamba y Vilcabamba del cantón Loja, provincia de Loja</w:t>
      </w:r>
      <w:r w:rsidRPr="00FC4FF4">
        <w:rPr>
          <w:rFonts w:ascii="Arial" w:hAnsi="Arial" w:cs="Arial"/>
          <w:sz w:val="20"/>
          <w:szCs w:val="20"/>
          <w:lang w:val="es-EC"/>
        </w:rPr>
        <w:t xml:space="preserve">. </w:t>
      </w:r>
      <w:r w:rsidRPr="00895025">
        <w:rPr>
          <w:rFonts w:ascii="Arial" w:hAnsi="Arial" w:cs="Arial"/>
          <w:sz w:val="20"/>
          <w:szCs w:val="20"/>
          <w:lang w:val="en-US"/>
        </w:rPr>
        <w:t>Universidad Técnica Particular de Loja.</w:t>
      </w:r>
    </w:p>
    <w:sectPr w:rsidR="00384D81" w:rsidRPr="00895025" w:rsidSect="006666D5">
      <w:pgSz w:w="12240" w:h="15840"/>
      <w:pgMar w:top="1417" w:right="1701" w:bottom="1417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325"/>
    <w:multiLevelType w:val="multilevel"/>
    <w:tmpl w:val="B6462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5C30"/>
    <w:multiLevelType w:val="multilevel"/>
    <w:tmpl w:val="AA9E0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949C3"/>
    <w:multiLevelType w:val="multilevel"/>
    <w:tmpl w:val="F494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60E5"/>
    <w:multiLevelType w:val="multilevel"/>
    <w:tmpl w:val="15E4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22FE6"/>
    <w:multiLevelType w:val="hybridMultilevel"/>
    <w:tmpl w:val="6C0C92B2"/>
    <w:lvl w:ilvl="0" w:tplc="5510D9BE">
      <w:start w:val="1"/>
      <w:numFmt w:val="decimal"/>
      <w:lvlText w:val="%1."/>
      <w:lvlJc w:val="left"/>
      <w:pPr>
        <w:ind w:left="720" w:hanging="360"/>
      </w:pPr>
    </w:lvl>
    <w:lvl w:ilvl="1" w:tplc="E3060C3C">
      <w:start w:val="1"/>
      <w:numFmt w:val="lowerLetter"/>
      <w:lvlText w:val="%2."/>
      <w:lvlJc w:val="left"/>
      <w:pPr>
        <w:ind w:left="1440" w:hanging="360"/>
      </w:pPr>
    </w:lvl>
    <w:lvl w:ilvl="2" w:tplc="C7ACBA92">
      <w:start w:val="1"/>
      <w:numFmt w:val="lowerRoman"/>
      <w:lvlText w:val="%3."/>
      <w:lvlJc w:val="right"/>
      <w:pPr>
        <w:ind w:left="2160" w:hanging="180"/>
      </w:pPr>
    </w:lvl>
    <w:lvl w:ilvl="3" w:tplc="27624652">
      <w:start w:val="1"/>
      <w:numFmt w:val="decimal"/>
      <w:lvlText w:val="%4."/>
      <w:lvlJc w:val="left"/>
      <w:pPr>
        <w:ind w:left="2880" w:hanging="360"/>
      </w:pPr>
    </w:lvl>
    <w:lvl w:ilvl="4" w:tplc="04C8C694">
      <w:start w:val="1"/>
      <w:numFmt w:val="lowerLetter"/>
      <w:lvlText w:val="%5."/>
      <w:lvlJc w:val="left"/>
      <w:pPr>
        <w:ind w:left="3600" w:hanging="360"/>
      </w:pPr>
    </w:lvl>
    <w:lvl w:ilvl="5" w:tplc="CFBACC76">
      <w:start w:val="1"/>
      <w:numFmt w:val="lowerRoman"/>
      <w:lvlText w:val="%6."/>
      <w:lvlJc w:val="right"/>
      <w:pPr>
        <w:ind w:left="4320" w:hanging="180"/>
      </w:pPr>
    </w:lvl>
    <w:lvl w:ilvl="6" w:tplc="83A6EF3C">
      <w:start w:val="1"/>
      <w:numFmt w:val="decimal"/>
      <w:lvlText w:val="%7."/>
      <w:lvlJc w:val="left"/>
      <w:pPr>
        <w:ind w:left="5040" w:hanging="360"/>
      </w:pPr>
    </w:lvl>
    <w:lvl w:ilvl="7" w:tplc="562C2666">
      <w:start w:val="1"/>
      <w:numFmt w:val="lowerLetter"/>
      <w:lvlText w:val="%8."/>
      <w:lvlJc w:val="left"/>
      <w:pPr>
        <w:ind w:left="5760" w:hanging="360"/>
      </w:pPr>
    </w:lvl>
    <w:lvl w:ilvl="8" w:tplc="84808F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4711"/>
    <w:multiLevelType w:val="hybridMultilevel"/>
    <w:tmpl w:val="51C0C92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06F6"/>
    <w:multiLevelType w:val="multilevel"/>
    <w:tmpl w:val="778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62247"/>
    <w:multiLevelType w:val="multilevel"/>
    <w:tmpl w:val="593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6233E"/>
    <w:multiLevelType w:val="multilevel"/>
    <w:tmpl w:val="57B66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D0B1F"/>
    <w:multiLevelType w:val="multilevel"/>
    <w:tmpl w:val="CB26F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91E59"/>
    <w:multiLevelType w:val="multilevel"/>
    <w:tmpl w:val="FC7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45CDC"/>
    <w:multiLevelType w:val="hybridMultilevel"/>
    <w:tmpl w:val="4D8C48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517D"/>
    <w:multiLevelType w:val="hybridMultilevel"/>
    <w:tmpl w:val="3D9E3C9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A0CD7"/>
    <w:multiLevelType w:val="multilevel"/>
    <w:tmpl w:val="A82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27FBE"/>
    <w:multiLevelType w:val="multilevel"/>
    <w:tmpl w:val="ED42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6323E"/>
    <w:multiLevelType w:val="multilevel"/>
    <w:tmpl w:val="5BE2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C61F7"/>
    <w:multiLevelType w:val="multilevel"/>
    <w:tmpl w:val="069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63493"/>
    <w:multiLevelType w:val="multilevel"/>
    <w:tmpl w:val="0B6C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color w:val="000000"/>
      </w:rPr>
    </w:lvl>
  </w:abstractNum>
  <w:abstractNum w:abstractNumId="18" w15:restartNumberingAfterBreak="0">
    <w:nsid w:val="5B3F5893"/>
    <w:multiLevelType w:val="multilevel"/>
    <w:tmpl w:val="7FD69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7640E"/>
    <w:multiLevelType w:val="multilevel"/>
    <w:tmpl w:val="8F7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148FC"/>
    <w:multiLevelType w:val="multilevel"/>
    <w:tmpl w:val="7A5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0831E8"/>
    <w:multiLevelType w:val="multilevel"/>
    <w:tmpl w:val="76E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37EEF"/>
    <w:multiLevelType w:val="multilevel"/>
    <w:tmpl w:val="F6522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12AAF"/>
    <w:multiLevelType w:val="multilevel"/>
    <w:tmpl w:val="62F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32A50"/>
    <w:multiLevelType w:val="hybridMultilevel"/>
    <w:tmpl w:val="541C0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771B"/>
    <w:multiLevelType w:val="multilevel"/>
    <w:tmpl w:val="430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8710FB"/>
    <w:multiLevelType w:val="multilevel"/>
    <w:tmpl w:val="1B4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F06788"/>
    <w:multiLevelType w:val="multilevel"/>
    <w:tmpl w:val="43880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938D2"/>
    <w:multiLevelType w:val="multilevel"/>
    <w:tmpl w:val="2C6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770B26"/>
    <w:multiLevelType w:val="multilevel"/>
    <w:tmpl w:val="A170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766708">
    <w:abstractNumId w:val="4"/>
  </w:num>
  <w:num w:numId="2" w16cid:durableId="950549301">
    <w:abstractNumId w:val="5"/>
  </w:num>
  <w:num w:numId="3" w16cid:durableId="1319188199">
    <w:abstractNumId w:val="17"/>
  </w:num>
  <w:num w:numId="4" w16cid:durableId="1053576626">
    <w:abstractNumId w:val="24"/>
  </w:num>
  <w:num w:numId="5" w16cid:durableId="412818131">
    <w:abstractNumId w:val="12"/>
  </w:num>
  <w:num w:numId="6" w16cid:durableId="236747955">
    <w:abstractNumId w:val="26"/>
  </w:num>
  <w:num w:numId="7" w16cid:durableId="1771850373">
    <w:abstractNumId w:val="23"/>
  </w:num>
  <w:num w:numId="8" w16cid:durableId="2111705301">
    <w:abstractNumId w:val="6"/>
  </w:num>
  <w:num w:numId="9" w16cid:durableId="1277559505">
    <w:abstractNumId w:val="13"/>
  </w:num>
  <w:num w:numId="10" w16cid:durableId="1503737958">
    <w:abstractNumId w:val="8"/>
  </w:num>
  <w:num w:numId="11" w16cid:durableId="1919826525">
    <w:abstractNumId w:val="20"/>
  </w:num>
  <w:num w:numId="12" w16cid:durableId="1044913233">
    <w:abstractNumId w:val="9"/>
  </w:num>
  <w:num w:numId="13" w16cid:durableId="928122922">
    <w:abstractNumId w:val="7"/>
  </w:num>
  <w:num w:numId="14" w16cid:durableId="1481775274">
    <w:abstractNumId w:val="0"/>
  </w:num>
  <w:num w:numId="15" w16cid:durableId="1599412199">
    <w:abstractNumId w:val="28"/>
  </w:num>
  <w:num w:numId="16" w16cid:durableId="1570577629">
    <w:abstractNumId w:val="22"/>
  </w:num>
  <w:num w:numId="17" w16cid:durableId="1819565472">
    <w:abstractNumId w:val="29"/>
  </w:num>
  <w:num w:numId="18" w16cid:durableId="1011571595">
    <w:abstractNumId w:val="10"/>
  </w:num>
  <w:num w:numId="19" w16cid:durableId="1967353010">
    <w:abstractNumId w:val="19"/>
  </w:num>
  <w:num w:numId="20" w16cid:durableId="2088919668">
    <w:abstractNumId w:val="11"/>
  </w:num>
  <w:num w:numId="21" w16cid:durableId="122702493">
    <w:abstractNumId w:val="3"/>
  </w:num>
  <w:num w:numId="22" w16cid:durableId="257716356">
    <w:abstractNumId w:val="16"/>
  </w:num>
  <w:num w:numId="23" w16cid:durableId="2081634446">
    <w:abstractNumId w:val="27"/>
  </w:num>
  <w:num w:numId="24" w16cid:durableId="647712108">
    <w:abstractNumId w:val="25"/>
  </w:num>
  <w:num w:numId="25" w16cid:durableId="262961825">
    <w:abstractNumId w:val="14"/>
  </w:num>
  <w:num w:numId="26" w16cid:durableId="1241519426">
    <w:abstractNumId w:val="15"/>
  </w:num>
  <w:num w:numId="27" w16cid:durableId="1151604583">
    <w:abstractNumId w:val="18"/>
  </w:num>
  <w:num w:numId="28" w16cid:durableId="1176723836">
    <w:abstractNumId w:val="2"/>
  </w:num>
  <w:num w:numId="29" w16cid:durableId="1791630218">
    <w:abstractNumId w:val="1"/>
  </w:num>
  <w:num w:numId="30" w16cid:durableId="1353265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D"/>
    <w:rsid w:val="000638B9"/>
    <w:rsid w:val="00083E9A"/>
    <w:rsid w:val="00110664"/>
    <w:rsid w:val="001A1BF1"/>
    <w:rsid w:val="00227FED"/>
    <w:rsid w:val="002A4ADF"/>
    <w:rsid w:val="00341B84"/>
    <w:rsid w:val="0037179F"/>
    <w:rsid w:val="00384D81"/>
    <w:rsid w:val="005D06C1"/>
    <w:rsid w:val="00644674"/>
    <w:rsid w:val="0064546B"/>
    <w:rsid w:val="006666D5"/>
    <w:rsid w:val="007965DB"/>
    <w:rsid w:val="007B5499"/>
    <w:rsid w:val="00886A40"/>
    <w:rsid w:val="00895025"/>
    <w:rsid w:val="008D2FBB"/>
    <w:rsid w:val="00971220"/>
    <w:rsid w:val="009B7764"/>
    <w:rsid w:val="00AE2F07"/>
    <w:rsid w:val="00B30DB2"/>
    <w:rsid w:val="00B35542"/>
    <w:rsid w:val="00BF6860"/>
    <w:rsid w:val="00C3348C"/>
    <w:rsid w:val="00C50F47"/>
    <w:rsid w:val="00C95FA5"/>
    <w:rsid w:val="00DE42B1"/>
    <w:rsid w:val="00E667E9"/>
    <w:rsid w:val="00E712C9"/>
    <w:rsid w:val="00E842B6"/>
    <w:rsid w:val="00EA558D"/>
    <w:rsid w:val="00ED3018"/>
    <w:rsid w:val="00EF31D4"/>
    <w:rsid w:val="00F47015"/>
    <w:rsid w:val="00F918F5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263D"/>
  <w15:chartTrackingRefBased/>
  <w15:docId w15:val="{DC99A7F6-7245-4075-9354-04850C5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ED"/>
    <w:rPr>
      <w:lang w:val="es-US"/>
    </w:rPr>
  </w:style>
  <w:style w:type="paragraph" w:styleId="Ttulo1">
    <w:name w:val="heading 1"/>
    <w:basedOn w:val="Normal"/>
    <w:next w:val="Normal"/>
    <w:link w:val="Ttulo1Car"/>
    <w:uiPriority w:val="9"/>
    <w:qFormat/>
    <w:rsid w:val="00227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7FE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FED"/>
    <w:pPr>
      <w:keepNext/>
      <w:spacing w:after="0" w:line="240" w:lineRule="auto"/>
      <w:jc w:val="center"/>
      <w:outlineLvl w:val="7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F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  <w:style w:type="character" w:customStyle="1" w:styleId="Ttulo7Car">
    <w:name w:val="Título 7 Car"/>
    <w:basedOn w:val="Fuentedeprrafopredeter"/>
    <w:link w:val="Ttulo7"/>
    <w:uiPriority w:val="9"/>
    <w:rsid w:val="00227FE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227FED"/>
    <w:rPr>
      <w:b/>
      <w:bCs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227FED"/>
  </w:style>
  <w:style w:type="character" w:styleId="Textoennegrita">
    <w:name w:val="Strong"/>
    <w:basedOn w:val="Fuentedeprrafopredeter"/>
    <w:uiPriority w:val="22"/>
    <w:qFormat/>
    <w:rsid w:val="00227FE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7FED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27FED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ED"/>
    <w:rPr>
      <w:rFonts w:ascii="Segoe UI" w:hAnsi="Segoe UI" w:cs="Segoe UI"/>
      <w:sz w:val="18"/>
      <w:szCs w:val="18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F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27F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FED"/>
    <w:pPr>
      <w:ind w:left="720"/>
      <w:contextualSpacing/>
    </w:pPr>
  </w:style>
  <w:style w:type="character" w:customStyle="1" w:styleId="normaltextrun">
    <w:name w:val="normaltextrun"/>
    <w:basedOn w:val="Fuentedeprrafopredeter"/>
    <w:rsid w:val="00227FED"/>
  </w:style>
  <w:style w:type="character" w:customStyle="1" w:styleId="eop">
    <w:name w:val="eop"/>
    <w:basedOn w:val="Fuentedeprrafopredeter"/>
    <w:rsid w:val="00227FE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FED"/>
    <w:rPr>
      <w:sz w:val="20"/>
      <w:szCs w:val="20"/>
      <w:lang w:val="es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FED"/>
    <w:rPr>
      <w:b/>
      <w:bCs/>
      <w:sz w:val="20"/>
      <w:szCs w:val="20"/>
      <w:lang w:val="es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2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FED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22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FED"/>
    <w:rPr>
      <w:lang w:val="es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show">
    <w:name w:val="show"/>
    <w:basedOn w:val="Normal"/>
    <w:rsid w:val="00A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italica">
    <w:name w:val="italica"/>
    <w:basedOn w:val="Fuentedeprrafopredeter"/>
    <w:rsid w:val="002A4ADF"/>
  </w:style>
  <w:style w:type="paragraph" w:customStyle="1" w:styleId="bibliografia">
    <w:name w:val="bibliografia"/>
    <w:basedOn w:val="Normal"/>
    <w:rsid w:val="002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8D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B978-0-7506-7968-8.00001-6" TargetMode="External"/><Relationship Id="rId13" Type="http://schemas.openxmlformats.org/officeDocument/2006/relationships/hyperlink" Target="https://doi.org/10.18111/9789284411894" TargetMode="External"/><Relationship Id="rId18" Type="http://schemas.openxmlformats.org/officeDocument/2006/relationships/hyperlink" Target="https://www.elcomercio.com/actualidad/hoteles-ecuador-cerrados-pandemia-coronaviru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gricultura.gob.ec/redes-comerciales/" TargetMode="External"/><Relationship Id="rId7" Type="http://schemas.openxmlformats.org/officeDocument/2006/relationships/hyperlink" Target="https://doi.org/10.1016/B978-0-12-811835-1.00006-3" TargetMode="External"/><Relationship Id="rId12" Type="http://schemas.openxmlformats.org/officeDocument/2006/relationships/hyperlink" Target="https://doi.org/10.1016/j.foodchem.2013.12.106" TargetMode="External"/><Relationship Id="rId17" Type="http://schemas.openxmlformats.org/officeDocument/2006/relationships/hyperlink" Target="https://www.bbc.com/mundo/noticias-49634612https://www.bbc.com/mundo/noticias-496346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statista.com/estadisticas/1173450/paises-mayor-cantidad-usuarios-facebook-america-latina/" TargetMode="External"/><Relationship Id="rId20" Type="http://schemas.openxmlformats.org/officeDocument/2006/relationships/hyperlink" Target="https://doi.org/10.1016/j.agee.2018.10.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88/0004-637X/779/1/11" TargetMode="External"/><Relationship Id="rId11" Type="http://schemas.openxmlformats.org/officeDocument/2006/relationships/hyperlink" Target="https://doi.org/10.25145/j.pasos.2015.13.099" TargetMode="External"/><Relationship Id="rId24" Type="http://schemas.openxmlformats.org/officeDocument/2006/relationships/hyperlink" Target="https://doi.org/10.1088/0004-637X/779/1/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gricultura.gob.ec/redes-comerciales/" TargetMode="External"/><Relationship Id="rId23" Type="http://schemas.openxmlformats.org/officeDocument/2006/relationships/hyperlink" Target="https://doi.org/10.25145/j.pasos.2015.13.099" TargetMode="External"/><Relationship Id="rId10" Type="http://schemas.openxmlformats.org/officeDocument/2006/relationships/hyperlink" Target="https://www.eumed.net/rev/turydes/26/marketing-turistico-manta.html" TargetMode="External"/><Relationship Id="rId19" Type="http://schemas.openxmlformats.org/officeDocument/2006/relationships/hyperlink" Target="https://www.elcomercio.com/actualidad/hoteles-ecuador-cerrados-pandemia-coronavi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gee.2018.10.015" TargetMode="External"/><Relationship Id="rId14" Type="http://schemas.openxmlformats.org/officeDocument/2006/relationships/hyperlink" Target="http://www.dof.gob.mx/nota_detalle.php?codigo=5286505&amp;fecha=01/02/2013" TargetMode="External"/><Relationship Id="rId22" Type="http://schemas.openxmlformats.org/officeDocument/2006/relationships/hyperlink" Target="https://doi.org/10.1016/B978-0-12-811835-1.00006-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2360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Lastra</dc:creator>
  <cp:keywords/>
  <dc:description/>
  <cp:lastModifiedBy>XAVIER BOLIVAR LASTRA BRAVO</cp:lastModifiedBy>
  <cp:revision>26</cp:revision>
  <dcterms:created xsi:type="dcterms:W3CDTF">2021-05-19T16:18:00Z</dcterms:created>
  <dcterms:modified xsi:type="dcterms:W3CDTF">2022-12-08T23:25:00Z</dcterms:modified>
</cp:coreProperties>
</file>